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9" w:rsidRPr="00884D3D" w:rsidRDefault="00884D3D" w:rsidP="00884D3D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884D3D">
        <w:rPr>
          <w:rFonts w:ascii="Arial" w:hAnsi="Arial" w:cs="Arial"/>
          <w:color w:val="000000" w:themeColor="text1"/>
          <w:sz w:val="44"/>
          <w:szCs w:val="44"/>
        </w:rPr>
        <w:t>Committee of Adjustment</w:t>
      </w:r>
    </w:p>
    <w:p w:rsidR="00884D3D" w:rsidRPr="00884D3D" w:rsidRDefault="00884D3D" w:rsidP="00884D3D">
      <w:pPr>
        <w:pStyle w:val="Heading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84D3D">
        <w:rPr>
          <w:rFonts w:ascii="Arial" w:hAnsi="Arial" w:cs="Arial"/>
          <w:color w:val="000000" w:themeColor="text1"/>
          <w:sz w:val="32"/>
          <w:szCs w:val="32"/>
        </w:rPr>
        <w:t xml:space="preserve">Summary of Applications for </w:t>
      </w:r>
      <w:r w:rsidR="0007456F">
        <w:rPr>
          <w:rFonts w:ascii="Arial" w:hAnsi="Arial" w:cs="Arial"/>
          <w:color w:val="000000" w:themeColor="text1"/>
          <w:sz w:val="32"/>
          <w:szCs w:val="32"/>
        </w:rPr>
        <w:t>November 18</w:t>
      </w:r>
      <w:r w:rsidR="0007456F" w:rsidRPr="0007456F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="0007456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884D3D">
        <w:rPr>
          <w:rFonts w:ascii="Arial" w:hAnsi="Arial" w:cs="Arial"/>
          <w:color w:val="000000" w:themeColor="text1"/>
          <w:sz w:val="32"/>
          <w:szCs w:val="32"/>
        </w:rPr>
        <w:t>Hearing</w:t>
      </w:r>
    </w:p>
    <w:p w:rsidR="00884D3D" w:rsidRPr="00BC62BC" w:rsidRDefault="00884D3D" w:rsidP="00BC62B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B19" w:rsidTr="00884D3D">
        <w:trPr>
          <w:tblHeader/>
        </w:trPr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PURPOSE</w:t>
            </w:r>
          </w:p>
        </w:tc>
      </w:tr>
      <w:tr w:rsidR="00C05B19" w:rsidTr="00C05B19">
        <w:tc>
          <w:tcPr>
            <w:tcW w:w="4788" w:type="dxa"/>
          </w:tcPr>
          <w:p w:rsidR="00BC62BC" w:rsidRDefault="0007456F">
            <w:r w:rsidRPr="001B305E">
              <w:rPr>
                <w:rFonts w:ascii="Arial" w:eastAsia="Calibri" w:hAnsi="Arial" w:cs="Times New Roman"/>
                <w:noProof/>
                <w:sz w:val="24"/>
              </w:rPr>
              <w:t>24-26, (24 B) Melrose Avenue</w:t>
            </w:r>
          </w:p>
        </w:tc>
        <w:tc>
          <w:tcPr>
            <w:tcW w:w="4788" w:type="dxa"/>
          </w:tcPr>
          <w:p w:rsidR="00C05B19" w:rsidRPr="00382B5E" w:rsidRDefault="0007456F" w:rsidP="00382B5E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1B305E">
              <w:rPr>
                <w:rFonts w:ascii="Arial" w:eastAsia="Calibri" w:hAnsi="Arial" w:cs="Times New Roman"/>
                <w:sz w:val="24"/>
              </w:rPr>
              <w:t>The Owner wants to convert the existing detached dwelling into a three-unit dwelling, as well as provide two tandem parking spaces in the driveway, as shown on plans filed with the Committee.</w:t>
            </w:r>
          </w:p>
        </w:tc>
      </w:tr>
      <w:tr w:rsidR="00C05B19" w:rsidTr="00C05B19">
        <w:tc>
          <w:tcPr>
            <w:tcW w:w="4788" w:type="dxa"/>
          </w:tcPr>
          <w:p w:rsidR="00C05B19" w:rsidRDefault="0007456F">
            <w:r w:rsidRPr="00806D33">
              <w:rPr>
                <w:rFonts w:ascii="Arial" w:eastAsia="Calibri" w:hAnsi="Arial" w:cs="Times New Roman"/>
                <w:noProof/>
                <w:sz w:val="24"/>
                <w:lang w:val="fr-CA"/>
              </w:rPr>
              <w:t xml:space="preserve">588 &amp; 594 Tweedsmuir Avenue, (255-261) Avondale Avenue  </w:t>
            </w:r>
          </w:p>
        </w:tc>
        <w:tc>
          <w:tcPr>
            <w:tcW w:w="4788" w:type="dxa"/>
          </w:tcPr>
          <w:p w:rsidR="00382B5E" w:rsidRPr="00892269" w:rsidRDefault="0007456F" w:rsidP="00382B5E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806D33">
              <w:rPr>
                <w:rFonts w:ascii="Arial" w:eastAsia="Calibri" w:hAnsi="Arial" w:cs="Times New Roman"/>
                <w:sz w:val="24"/>
              </w:rPr>
              <w:t xml:space="preserve">The Owners want to convey a portion of their property to the property owner to the south known municipally as </w:t>
            </w:r>
            <w:r w:rsidRPr="00806D33">
              <w:rPr>
                <w:rFonts w:ascii="Arial" w:eastAsia="Calibri" w:hAnsi="Arial" w:cs="Times New Roman"/>
                <w:noProof/>
                <w:sz w:val="24"/>
              </w:rPr>
              <w:t>594 Tweedsmuir Avenue</w:t>
            </w:r>
            <w:r w:rsidRPr="00806D33">
              <w:rPr>
                <w:rFonts w:ascii="Arial" w:eastAsia="Calibri" w:hAnsi="Arial" w:cs="Times New Roman"/>
                <w:sz w:val="24"/>
              </w:rPr>
              <w:t xml:space="preserve">. Once that is completed, the Owners also want to subdivide their newly amalgamated property into six separate parcels. The existing detached dwelling and three-unit dwelling are to remain and it is proposed to construct two, two-storey semi-detached dwellings on the newly created parcels. The existing frame garage at the rear of 594 </w:t>
            </w:r>
            <w:proofErr w:type="spellStart"/>
            <w:r w:rsidRPr="00806D33">
              <w:rPr>
                <w:rFonts w:ascii="Arial" w:eastAsia="Calibri" w:hAnsi="Arial" w:cs="Times New Roman"/>
                <w:sz w:val="24"/>
              </w:rPr>
              <w:t>Tweedsmuir</w:t>
            </w:r>
            <w:proofErr w:type="spellEnd"/>
            <w:r w:rsidRPr="00806D33">
              <w:rPr>
                <w:rFonts w:ascii="Arial" w:eastAsia="Calibri" w:hAnsi="Arial" w:cs="Times New Roman"/>
                <w:sz w:val="24"/>
              </w:rPr>
              <w:t xml:space="preserve"> Avenue is to be demolished and the new parking space is to be relocated in the rear yard with access off of </w:t>
            </w:r>
            <w:r w:rsidRPr="00806D33">
              <w:rPr>
                <w:rFonts w:ascii="Arial" w:eastAsia="Calibri" w:hAnsi="Arial" w:cs="Times New Roman"/>
                <w:noProof/>
                <w:sz w:val="24"/>
              </w:rPr>
              <w:t>Avondale Avenue.</w:t>
            </w:r>
            <w:r w:rsidRPr="00806D33">
              <w:rPr>
                <w:rFonts w:ascii="Arial" w:eastAsia="Calibri" w:hAnsi="Arial" w:cs="Times New Roman"/>
                <w:sz w:val="24"/>
              </w:rPr>
              <w:t xml:space="preserve">   </w:t>
            </w:r>
          </w:p>
        </w:tc>
      </w:tr>
      <w:tr w:rsidR="0007456F" w:rsidTr="00C05B19">
        <w:tc>
          <w:tcPr>
            <w:tcW w:w="4788" w:type="dxa"/>
          </w:tcPr>
          <w:p w:rsidR="0007456F" w:rsidRPr="00806D33" w:rsidRDefault="0007456F">
            <w:pPr>
              <w:rPr>
                <w:rFonts w:ascii="Arial" w:eastAsia="Calibri" w:hAnsi="Arial" w:cs="Times New Roman"/>
                <w:noProof/>
                <w:sz w:val="24"/>
                <w:lang w:val="fr-CA"/>
              </w:rPr>
            </w:pPr>
            <w:r w:rsidRPr="00DB47F8">
              <w:rPr>
                <w:rFonts w:ascii="Arial" w:eastAsia="Calibri" w:hAnsi="Arial" w:cs="Times New Roman"/>
                <w:noProof/>
                <w:sz w:val="24"/>
              </w:rPr>
              <w:t>588 &amp; 594 Tweedsmuir Avenue, (255-261) Avondale Avenue</w:t>
            </w:r>
          </w:p>
        </w:tc>
        <w:tc>
          <w:tcPr>
            <w:tcW w:w="4788" w:type="dxa"/>
          </w:tcPr>
          <w:p w:rsidR="0007456F" w:rsidRPr="0007456F" w:rsidRDefault="0007456F" w:rsidP="00382B5E">
            <w:pPr>
              <w:spacing w:before="120" w:after="240"/>
              <w:rPr>
                <w:rFonts w:ascii="Arial" w:eastAsia="Calibri" w:hAnsi="Arial" w:cs="Times New Roman"/>
                <w:sz w:val="24"/>
                <w:lang w:val="en-US"/>
              </w:rPr>
            </w:pPr>
            <w:r w:rsidRPr="00DB47F8">
              <w:rPr>
                <w:rFonts w:ascii="Arial" w:eastAsia="Calibri" w:hAnsi="Arial" w:cs="Times New Roman"/>
                <w:sz w:val="24"/>
              </w:rPr>
              <w:t>The Owners have filed Consent Applications (D08-01-15/B-00373 to D08-01-15/B-00378)</w:t>
            </w:r>
            <w:r w:rsidRPr="00DB47F8">
              <w:rPr>
                <w:rFonts w:ascii="Arial" w:eastAsia="Calibri" w:hAnsi="Arial" w:cs="Times New Roman"/>
                <w:sz w:val="24"/>
                <w:lang w:val="en-GB"/>
              </w:rPr>
              <w:t xml:space="preserve"> which, if approved, will have the effect of creating six separate parcels of land. It is proposed</w:t>
            </w:r>
            <w:r w:rsidRPr="00DB47F8">
              <w:rPr>
                <w:rFonts w:ascii="Arial" w:eastAsia="Calibri" w:hAnsi="Arial" w:cs="Times New Roman"/>
                <w:sz w:val="24"/>
              </w:rPr>
              <w:t xml:space="preserve"> to convey a portion of their property to the property owner to the south known municipally as </w:t>
            </w:r>
            <w:r w:rsidRPr="00DB47F8">
              <w:rPr>
                <w:rFonts w:ascii="Arial" w:eastAsia="Calibri" w:hAnsi="Arial" w:cs="Times New Roman"/>
                <w:noProof/>
                <w:sz w:val="24"/>
              </w:rPr>
              <w:t>594 Tweedsmuir Avenue, subdivide the property and</w:t>
            </w:r>
            <w:r w:rsidRPr="00DB47F8">
              <w:rPr>
                <w:rFonts w:ascii="Arial" w:eastAsia="Calibri" w:hAnsi="Arial" w:cs="Times New Roman"/>
                <w:sz w:val="24"/>
              </w:rPr>
              <w:t xml:space="preserve"> construct two, two-storey semi-detached dwellings on these newly created parcels, as shown on plans filed with the Committee. The existing detached dwelling and three-unit dwelling are to remain. The proposed parcels and semi-</w:t>
            </w:r>
            <w:r w:rsidRPr="00DB47F8">
              <w:rPr>
                <w:rFonts w:ascii="Arial" w:eastAsia="Calibri" w:hAnsi="Arial" w:cs="Times New Roman"/>
                <w:sz w:val="24"/>
              </w:rPr>
              <w:lastRenderedPageBreak/>
              <w:t xml:space="preserve">detached dwellings will not be in conformity with the requirements of the Zoning By-law. </w:t>
            </w:r>
          </w:p>
        </w:tc>
      </w:tr>
    </w:tbl>
    <w:p w:rsidR="009F0654" w:rsidRDefault="009F0654"/>
    <w:sectPr w:rsidR="009F0654" w:rsidSect="009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19"/>
    <w:rsid w:val="0007456F"/>
    <w:rsid w:val="000B6E0A"/>
    <w:rsid w:val="001157CA"/>
    <w:rsid w:val="002442DA"/>
    <w:rsid w:val="0034362E"/>
    <w:rsid w:val="00382B5E"/>
    <w:rsid w:val="003E601B"/>
    <w:rsid w:val="00507039"/>
    <w:rsid w:val="00647E62"/>
    <w:rsid w:val="006D48A6"/>
    <w:rsid w:val="007617A7"/>
    <w:rsid w:val="007A3302"/>
    <w:rsid w:val="00884D3D"/>
    <w:rsid w:val="00892269"/>
    <w:rsid w:val="008E1355"/>
    <w:rsid w:val="009F0654"/>
    <w:rsid w:val="00A160EA"/>
    <w:rsid w:val="00A80715"/>
    <w:rsid w:val="00AA52B1"/>
    <w:rsid w:val="00BC62BC"/>
    <w:rsid w:val="00C05B19"/>
    <w:rsid w:val="00D77299"/>
    <w:rsid w:val="00D77A4E"/>
    <w:rsid w:val="00DF6328"/>
    <w:rsid w:val="00EA0BF6"/>
    <w:rsid w:val="00F4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EF98-A9BA-4BD9-B69E-CA5D32D9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bairdli</dc:creator>
  <cp:lastModifiedBy>bairdli</cp:lastModifiedBy>
  <cp:revision>2</cp:revision>
  <dcterms:created xsi:type="dcterms:W3CDTF">2015-11-04T19:42:00Z</dcterms:created>
  <dcterms:modified xsi:type="dcterms:W3CDTF">2015-11-04T19:42:00Z</dcterms:modified>
</cp:coreProperties>
</file>